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Программа соревнований:</w:t>
      </w:r>
    </w:p>
    <w:p w:rsid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САП 11.09.2021г., Гребной канал, Нижний Новгород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12-00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Регистрация участников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1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3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.00 Брифинг для участников соревнований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1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3.10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— 1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5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.00 Программа гонок: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</w: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А. Индивидуальный спринт (200 метров).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Гонка по дистанции по водам (1-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8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), от линии старта до финиша. Спортсмены, принимающие участие в заезде (1-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8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человек), выстраиваются по стартовой линии, выравниваются и занимают положение на доске, 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стоя на коленях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. По команде судьи участники занимают </w:t>
      </w:r>
      <w:proofErr w:type="gramStart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положение</w:t>
      </w:r>
      <w:proofErr w:type="gramEnd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стоя на ногах и начинают гонку. Дистанция прямая, без поворотов.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 xml:space="preserve">Гребля на коленях — допустимо не более 5 гребков после 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старта или 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падения в воду.</w:t>
      </w:r>
    </w:p>
    <w:p w:rsid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 xml:space="preserve">В. </w:t>
      </w:r>
      <w:r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Длинная дистанция,</w:t>
      </w: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 xml:space="preserve"> гонка </w:t>
      </w:r>
      <w:r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2000</w:t>
      </w: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м.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Спортсмены, принимающие участие в заезде, выстраиваются по стартовой линии, выравниваются и занимают положение на 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д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оске, 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стоя на коленях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. По команде судьи участники в группе занимают </w:t>
      </w:r>
      <w:proofErr w:type="gramStart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положение</w:t>
      </w:r>
      <w:proofErr w:type="gramEnd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стоя на ногах и начинают гонку.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Спортсмены должны пройти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д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истанцию из двух кругов, огибая по ходу движения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поворотные буи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Спортсмен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ы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долж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ны п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ересечь финишны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й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створ.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 xml:space="preserve">Гребля на коленях — допустимо не более 5 гребков после 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старта или 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падения в воду.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1</w:t>
      </w: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5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.00 Подведение итогов, Награждение победителей.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Участники соревнований: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К соревнованиям допускаются спортсмены в следующих классах:</w:t>
      </w:r>
    </w:p>
    <w:p w:rsidR="00CB4C58" w:rsidRDefault="00CB4C58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Класс Открытый</w:t>
      </w:r>
    </w:p>
    <w:p w:rsidR="00CB4C58" w:rsidRDefault="00CB4C58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Возрастные группы: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lastRenderedPageBreak/>
        <w:br/>
      </w: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Юноши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 одна группа до 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17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лет.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Девушки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 одна группа до 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17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лет.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Мужчины </w:t>
      </w:r>
      <w:r w:rsidR="00CB4C58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 xml:space="preserve"> группа 17+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Женщины </w:t>
      </w:r>
      <w:r w:rsidR="00CB4C58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группа 17+</w:t>
      </w:r>
    </w:p>
    <w:p w:rsidR="0024634F" w:rsidRPr="0024634F" w:rsidRDefault="0024634F" w:rsidP="00CB4C5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Допускаются спортсмены на любых надувных досках.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Возрастная группа участника определяется по числу полных лет на 01 января 2022г.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Для сокращения времени соревнований и оптимизации работы судейства ряд заездов предполагает объединение возрастных групп участников, при этом внутри данных заездов победители и призеры будут </w:t>
      </w:r>
      <w:proofErr w:type="gramStart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определяться</w:t>
      </w:r>
      <w:proofErr w:type="gramEnd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и награждаться в каждой возрастной группе.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Судейство: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 xml:space="preserve">Соревнования обслуживаются судьями 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Нижегородской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областной коллегии судей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по гребле на байдарках и каноэ</w:t>
      </w:r>
      <w:proofErr w:type="gramStart"/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.</w:t>
      </w:r>
      <w:proofErr w:type="gramEnd"/>
    </w:p>
    <w:p w:rsidR="00CB4C58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Заявки на участие: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 xml:space="preserve">Электронная регистрация участников доступна с 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01 сентября 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2021 года на сайте 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________________________________________</w:t>
      </w:r>
      <w:r w:rsidR="00CB4C58"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Допуск к соревнованиям осуществляется мандатной комиссией только после подписания участником личного заявления, подтверждающего состояние здоровья и умение заявителя плавать.</w:t>
      </w:r>
    </w:p>
    <w:p w:rsidR="00CB4C58" w:rsidRPr="0024634F" w:rsidRDefault="0024634F" w:rsidP="00CB4C5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Награждение: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Для каждой дистанции (</w:t>
      </w:r>
      <w:r w:rsidR="009020DB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Индивидуальный с</w:t>
      </w:r>
      <w:bookmarkStart w:id="0" w:name="_GoBack"/>
      <w:bookmarkEnd w:id="0"/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принт;  Длинная дистанция) в своем классе и возрастной группе в отдельности 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lastRenderedPageBreak/>
        <w:t>будут определены и награждены победители индивидуального зачета – первые три места.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b/>
          <w:bCs/>
          <w:color w:val="7A7C84"/>
          <w:sz w:val="30"/>
          <w:szCs w:val="30"/>
          <w:lang w:eastAsia="ru-RU"/>
        </w:rPr>
        <w:t>Особые условия: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br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Данн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ая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п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рограмма</w:t>
      </w: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 xml:space="preserve"> является официальным приглашением на соревнования.</w:t>
      </w:r>
    </w:p>
    <w:p w:rsidR="0024634F" w:rsidRPr="0024634F" w:rsidRDefault="0024634F" w:rsidP="0024634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Справки по тел</w:t>
      </w:r>
      <w:r w:rsidR="00CB4C58">
        <w:rPr>
          <w:rFonts w:ascii="Arial" w:eastAsia="Times New Roman" w:hAnsi="Arial" w:cs="Arial"/>
          <w:color w:val="7A7C84"/>
          <w:sz w:val="30"/>
          <w:szCs w:val="30"/>
          <w:lang w:eastAsia="ru-RU"/>
        </w:rPr>
        <w:t>:</w:t>
      </w:r>
    </w:p>
    <w:p w:rsidR="0024634F" w:rsidRPr="0024634F" w:rsidRDefault="0024634F" w:rsidP="00246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C84"/>
          <w:sz w:val="30"/>
          <w:szCs w:val="30"/>
          <w:lang w:eastAsia="ru-RU"/>
        </w:rPr>
      </w:pPr>
      <w:r w:rsidRPr="0024634F">
        <w:rPr>
          <w:rFonts w:ascii="Arial" w:eastAsia="Times New Roman" w:hAnsi="Arial" w:cs="Arial"/>
          <w:noProof/>
          <w:color w:val="7A7C84"/>
          <w:sz w:val="30"/>
          <w:szCs w:val="30"/>
          <w:lang w:eastAsia="ru-RU"/>
        </w:rPr>
        <w:drawing>
          <wp:inline distT="0" distB="0" distL="0" distR="0" wp14:anchorId="7FDED9F8" wp14:editId="235D08B4">
            <wp:extent cx="571500" cy="571500"/>
            <wp:effectExtent l="0" t="0" r="0" b="0"/>
            <wp:docPr id="1" name="Рисунок 1" descr="https://secure.gravatar.com/avatar/cd9e1aa249de8c7c707d90994a826dc8?s=60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cd9e1aa249de8c7c707d90994a826dc8?s=60&amp;d=mm&amp;r=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34F" w:rsidRPr="0024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2"/>
    <w:rsid w:val="0024634F"/>
    <w:rsid w:val="0054008B"/>
    <w:rsid w:val="00556E62"/>
    <w:rsid w:val="009020DB"/>
    <w:rsid w:val="00C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959">
          <w:marLeft w:val="0"/>
          <w:marRight w:val="0"/>
          <w:marTop w:val="1080"/>
          <w:marBottom w:val="360"/>
          <w:divBdr>
            <w:top w:val="single" w:sz="6" w:space="18" w:color="F3F3F3"/>
            <w:left w:val="single" w:sz="6" w:space="18" w:color="F3F3F3"/>
            <w:bottom w:val="single" w:sz="6" w:space="0" w:color="F3F3F3"/>
            <w:right w:val="single" w:sz="6" w:space="18" w:color="F3F3F3"/>
          </w:divBdr>
          <w:divsChild>
            <w:div w:id="583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2021-08-30T09:59:00Z</dcterms:created>
  <dcterms:modified xsi:type="dcterms:W3CDTF">2021-09-07T09:21:00Z</dcterms:modified>
</cp:coreProperties>
</file>